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34" w:type="dxa"/>
        <w:tblLook w:val="04A0" w:firstRow="1" w:lastRow="0" w:firstColumn="1" w:lastColumn="0" w:noHBand="0" w:noVBand="1"/>
      </w:tblPr>
      <w:tblGrid>
        <w:gridCol w:w="4253"/>
        <w:gridCol w:w="5528"/>
      </w:tblGrid>
      <w:tr w:rsidR="007507B6" w:rsidTr="007507B6">
        <w:trPr>
          <w:trHeight w:val="567"/>
        </w:trPr>
        <w:tc>
          <w:tcPr>
            <w:tcW w:w="4253" w:type="dxa"/>
            <w:hideMark/>
          </w:tcPr>
          <w:p w:rsidR="007507B6" w:rsidRDefault="007507B6">
            <w:pPr>
              <w:ind w:left="-57" w:right="-113"/>
              <w:jc w:val="center"/>
              <w:rPr>
                <w:sz w:val="24"/>
                <w:szCs w:val="24"/>
                <w:lang w:val="de-DE"/>
              </w:rPr>
            </w:pPr>
            <w:r>
              <w:rPr>
                <w:lang w:val="de-DE"/>
              </w:rPr>
              <w:t>BỘ GIÁO DỤC VÀ ĐÀO TẠO</w:t>
            </w:r>
          </w:p>
          <w:p w:rsidR="007507B6" w:rsidRDefault="007507B6">
            <w:pPr>
              <w:keepNext/>
              <w:ind w:left="-57" w:right="-113"/>
              <w:jc w:val="center"/>
              <w:outlineLvl w:val="0"/>
              <w:rPr>
                <w:b/>
                <w:bCs/>
                <w:color w:val="000000"/>
                <w:szCs w:val="26"/>
                <w:lang w:val="de-DE"/>
              </w:rPr>
            </w:pPr>
            <w:r>
              <w:rPr>
                <w:b/>
                <w:bCs/>
                <w:color w:val="000000"/>
                <w:szCs w:val="26"/>
                <w:lang w:val="de-DE"/>
              </w:rPr>
              <w:t>TRƯỜNG ĐHDL PHƯƠNG ĐÔNG</w:t>
            </w:r>
          </w:p>
          <w:p w:rsidR="007507B6" w:rsidRDefault="007507B6">
            <w:pPr>
              <w:ind w:left="-57" w:right="-113"/>
              <w:jc w:val="center"/>
              <w:rPr>
                <w:sz w:val="28"/>
                <w:szCs w:val="28"/>
                <w:lang w:val="de-DE"/>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762635</wp:posOffset>
                      </wp:positionH>
                      <wp:positionV relativeFrom="paragraph">
                        <wp:posOffset>20320</wp:posOffset>
                      </wp:positionV>
                      <wp:extent cx="1211580" cy="0"/>
                      <wp:effectExtent l="10160" t="10795" r="6985" b="8255"/>
                      <wp:wrapNone/>
                      <wp:docPr id="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1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1.6pt" to="155.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ce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"/>
                  </w:pict>
                </mc:Fallback>
              </mc:AlternateContent>
            </w:r>
          </w:p>
        </w:tc>
        <w:tc>
          <w:tcPr>
            <w:tcW w:w="5528" w:type="dxa"/>
            <w:hideMark/>
          </w:tcPr>
          <w:p w:rsidR="007507B6" w:rsidRDefault="007507B6">
            <w:pPr>
              <w:ind w:left="-57" w:right="-113"/>
              <w:jc w:val="center"/>
              <w:rPr>
                <w:b/>
                <w:sz w:val="24"/>
                <w:szCs w:val="24"/>
              </w:rPr>
            </w:pPr>
            <w:r>
              <w:rPr>
                <w:b/>
              </w:rPr>
              <w:t>CỘNG HOÀ XÃ HỘI CHỦ NGHĨA VIỆT NAM</w:t>
            </w:r>
          </w:p>
          <w:p w:rsidR="007507B6" w:rsidRDefault="007507B6">
            <w:pPr>
              <w:ind w:left="-57" w:right="-113"/>
              <w:jc w:val="center"/>
              <w:rPr>
                <w:b/>
                <w:bCs/>
                <w:sz w:val="28"/>
                <w:szCs w:val="28"/>
              </w:rPr>
            </w:pPr>
            <w:r>
              <w:rPr>
                <w:b/>
                <w:bCs/>
                <w:sz w:val="28"/>
                <w:szCs w:val="28"/>
              </w:rPr>
              <w:t>Độc lập - Tự do - Hạnh phúc</w:t>
            </w:r>
          </w:p>
          <w:p w:rsidR="007507B6" w:rsidRDefault="007507B6">
            <w:pPr>
              <w:ind w:left="-57" w:right="-113"/>
              <w:jc w:val="center"/>
              <w:rPr>
                <w:sz w:val="28"/>
                <w:szCs w:val="28"/>
              </w:rPr>
            </w:pPr>
            <w:r>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448945</wp:posOffset>
                      </wp:positionH>
                      <wp:positionV relativeFrom="paragraph">
                        <wp:posOffset>26035</wp:posOffset>
                      </wp:positionV>
                      <wp:extent cx="2201545" cy="0"/>
                      <wp:effectExtent l="10795" t="6985" r="6985" b="12065"/>
                      <wp:wrapNone/>
                      <wp:docPr id="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1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pt,2.05pt" to="208.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Uqt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"/>
                  </w:pict>
                </mc:Fallback>
              </mc:AlternateContent>
            </w:r>
          </w:p>
        </w:tc>
      </w:tr>
    </w:tbl>
    <w:p w:rsidR="007507B6" w:rsidRDefault="007507B6" w:rsidP="007507B6">
      <w:pPr>
        <w:spacing w:before="120"/>
        <w:jc w:val="center"/>
        <w:rPr>
          <w:b/>
          <w:bCs/>
          <w:sz w:val="28"/>
          <w:szCs w:val="28"/>
        </w:rPr>
      </w:pPr>
    </w:p>
    <w:p w:rsidR="007507B6" w:rsidRDefault="007507B6" w:rsidP="007507B6">
      <w:pPr>
        <w:spacing w:before="120"/>
        <w:jc w:val="center"/>
        <w:rPr>
          <w:b/>
          <w:bCs/>
          <w:sz w:val="30"/>
          <w:szCs w:val="30"/>
        </w:rPr>
      </w:pPr>
      <w:r>
        <w:rPr>
          <w:b/>
          <w:bCs/>
          <w:sz w:val="30"/>
          <w:szCs w:val="30"/>
        </w:rPr>
        <w:t>QUY CHẾ</w:t>
      </w:r>
    </w:p>
    <w:p w:rsidR="007507B6" w:rsidRDefault="007507B6" w:rsidP="007507B6">
      <w:pPr>
        <w:spacing w:before="120"/>
        <w:jc w:val="center"/>
        <w:rPr>
          <w:b/>
          <w:bCs/>
          <w:sz w:val="28"/>
          <w:szCs w:val="28"/>
        </w:rPr>
      </w:pPr>
      <w:r>
        <w:rPr>
          <w:b/>
          <w:bCs/>
          <w:sz w:val="28"/>
          <w:szCs w:val="28"/>
        </w:rPr>
        <w:t>Đào tạo đại học và cao đẳng hệ chính quy theo hệ thống tín chỉ</w:t>
      </w:r>
    </w:p>
    <w:p w:rsidR="007507B6" w:rsidRDefault="007507B6" w:rsidP="007507B6">
      <w:pPr>
        <w:spacing w:before="120"/>
        <w:jc w:val="center"/>
        <w:rPr>
          <w:sz w:val="28"/>
          <w:szCs w:val="28"/>
        </w:rPr>
      </w:pPr>
      <w:r>
        <w:rPr>
          <w:i/>
          <w:iCs/>
          <w:sz w:val="28"/>
          <w:szCs w:val="28"/>
        </w:rPr>
        <w:t>(</w:t>
      </w:r>
      <w:r>
        <w:rPr>
          <w:i/>
          <w:iCs/>
          <w:szCs w:val="26"/>
        </w:rPr>
        <w:t xml:space="preserve">Ban hành kèm theo Quyết định số   143 /QĐ-ĐHPĐ-ĐT ngày  13  tháng 3  năm 2014 của Hiệu trưởng trường Đại học Dân lập Phương Đông </w:t>
      </w:r>
      <w:r>
        <w:rPr>
          <w:i/>
          <w:iCs/>
          <w:sz w:val="28"/>
          <w:szCs w:val="28"/>
        </w:rPr>
        <w:t>)</w:t>
      </w:r>
    </w:p>
    <w:p w:rsidR="007507B6" w:rsidRDefault="007507B6" w:rsidP="007507B6">
      <w:pPr>
        <w:spacing w:before="240" w:after="240"/>
        <w:ind w:firstLine="567"/>
        <w:jc w:val="both"/>
        <w:rPr>
          <w:b/>
          <w:bCs/>
          <w:sz w:val="28"/>
          <w:szCs w:val="28"/>
        </w:rPr>
      </w:pPr>
    </w:p>
    <w:p w:rsidR="00A13C23" w:rsidRDefault="00A13C23" w:rsidP="00A13C23">
      <w:pPr>
        <w:spacing w:before="200" w:after="200"/>
        <w:ind w:firstLine="567"/>
        <w:jc w:val="both"/>
        <w:rPr>
          <w:b/>
          <w:bCs/>
          <w:sz w:val="28"/>
          <w:szCs w:val="28"/>
          <w:lang w:val="it-IT" w:bidi="he-IL"/>
        </w:rPr>
      </w:pPr>
      <w:r>
        <w:rPr>
          <w:b/>
          <w:bCs/>
          <w:sz w:val="28"/>
          <w:szCs w:val="28"/>
        </w:rPr>
        <w:t>Điều 26. Điều kiện xét tốt nghiệp và công nhận tốt nghiệp</w:t>
      </w:r>
    </w:p>
    <w:p w:rsidR="00A13C23" w:rsidRDefault="00A13C23" w:rsidP="00A13C23">
      <w:pPr>
        <w:spacing w:before="120"/>
        <w:ind w:firstLine="567"/>
        <w:jc w:val="both"/>
        <w:rPr>
          <w:sz w:val="28"/>
          <w:szCs w:val="28"/>
          <w:lang w:val="it-IT" w:bidi="he-IL"/>
        </w:rPr>
      </w:pPr>
      <w:r>
        <w:rPr>
          <w:sz w:val="28"/>
          <w:szCs w:val="28"/>
          <w:lang w:val="it-IT" w:bidi="he-IL"/>
        </w:rPr>
        <w:t>1. Những sinh viên có đủ các điều kiện sau thì được Nhà trường xét và công nhận tốt nghiệp:</w:t>
      </w:r>
    </w:p>
    <w:p w:rsidR="00A13C23" w:rsidRDefault="00A13C23" w:rsidP="00A13C23">
      <w:pPr>
        <w:spacing w:before="120"/>
        <w:ind w:left="41" w:firstLine="567"/>
        <w:jc w:val="both"/>
        <w:rPr>
          <w:sz w:val="28"/>
          <w:szCs w:val="28"/>
          <w:lang w:val="it-IT" w:bidi="he-IL"/>
        </w:rPr>
      </w:pPr>
      <w:r>
        <w:rPr>
          <w:sz w:val="28"/>
          <w:szCs w:val="28"/>
          <w:lang w:val="it-IT" w:bidi="he-IL"/>
        </w:rPr>
        <w:t>a) Cho đến thời điểm xét tốt nghiệp không bị truy cứu trách nhiệm hình sự hoặc không trong thời gian bị kỷ luật ở mức đình chỉ học tập;</w:t>
      </w:r>
    </w:p>
    <w:p w:rsidR="00A13C23" w:rsidRDefault="00A13C23" w:rsidP="00A13C23">
      <w:pPr>
        <w:spacing w:before="120"/>
        <w:ind w:left="41" w:firstLine="567"/>
        <w:jc w:val="both"/>
        <w:rPr>
          <w:sz w:val="28"/>
          <w:szCs w:val="28"/>
          <w:lang w:val="it-IT" w:bidi="he-IL"/>
        </w:rPr>
      </w:pPr>
      <w:r>
        <w:rPr>
          <w:sz w:val="28"/>
          <w:szCs w:val="28"/>
          <w:lang w:val="it-IT" w:bidi="he-IL"/>
        </w:rPr>
        <w:t>b) Tích lũy đủ số học phần quy định cho mỗi chương trình đào tạo trong thời gian quy định cho khóa học;</w:t>
      </w:r>
    </w:p>
    <w:p w:rsidR="00A13C23" w:rsidRDefault="00A13C23" w:rsidP="00A13C23">
      <w:pPr>
        <w:spacing w:before="120"/>
        <w:ind w:firstLine="567"/>
        <w:jc w:val="both"/>
        <w:rPr>
          <w:sz w:val="28"/>
          <w:szCs w:val="28"/>
          <w:lang w:bidi="he-IL"/>
        </w:rPr>
      </w:pPr>
      <w:r>
        <w:rPr>
          <w:sz w:val="28"/>
          <w:szCs w:val="28"/>
          <w:lang w:bidi="he-IL"/>
        </w:rPr>
        <w:t>c) Điểm trung bình chung tích lũy của toàn khóa học đạt từ 2,00 trở lên;</w:t>
      </w:r>
    </w:p>
    <w:p w:rsidR="00A13C23" w:rsidRDefault="00A13C23" w:rsidP="00A13C23">
      <w:pPr>
        <w:spacing w:before="120"/>
        <w:ind w:left="41" w:firstLine="567"/>
        <w:jc w:val="both"/>
        <w:rPr>
          <w:sz w:val="28"/>
          <w:szCs w:val="28"/>
          <w:lang w:val="it-IT" w:bidi="he-IL"/>
        </w:rPr>
      </w:pPr>
      <w:r>
        <w:rPr>
          <w:sz w:val="28"/>
          <w:szCs w:val="28"/>
          <w:lang w:val="it-IT" w:bidi="he-IL"/>
        </w:rPr>
        <w:t>d) Có chứng chỉ giáo dục quốc phòng - an ninh và hoàn thành học phần giáo dục thể chất;</w:t>
      </w:r>
    </w:p>
    <w:p w:rsidR="00A13C23" w:rsidRDefault="00A13C23" w:rsidP="00A13C23">
      <w:pPr>
        <w:spacing w:before="120"/>
        <w:ind w:left="41" w:firstLine="567"/>
        <w:jc w:val="both"/>
        <w:rPr>
          <w:sz w:val="28"/>
          <w:szCs w:val="28"/>
          <w:lang w:val="it-IT" w:bidi="he-IL"/>
        </w:rPr>
      </w:pPr>
      <w:r>
        <w:rPr>
          <w:sz w:val="28"/>
          <w:szCs w:val="28"/>
          <w:lang w:val="it-IT" w:bidi="he-IL"/>
        </w:rPr>
        <w:t>đ) Có đơn gửi Trưởng khoa/trung tâm và Phòng đào tạo đề nghị được xét tốt nghiệp trong trường hợp đủ điều kiện tốt nghiệp sớm hoặc muộn so với thời gian thiết kế của khoá học.</w:t>
      </w:r>
    </w:p>
    <w:p w:rsidR="00A13C23" w:rsidRDefault="00A13C23" w:rsidP="00A13C23">
      <w:pPr>
        <w:spacing w:before="120"/>
        <w:ind w:left="41" w:firstLine="567"/>
        <w:jc w:val="both"/>
        <w:rPr>
          <w:sz w:val="28"/>
          <w:szCs w:val="28"/>
          <w:lang w:val="it-IT" w:bidi="he-IL"/>
        </w:rPr>
      </w:pPr>
      <w:r>
        <w:rPr>
          <w:sz w:val="28"/>
          <w:szCs w:val="28"/>
          <w:lang w:val="it-IT" w:bidi="he-IL"/>
        </w:rPr>
        <w:t>2. Hàng năm, nhà trường xét tốt nghiệp cho sinh viên đủ điều kiện 03 đợt vào các tháng 6, 10 và 12.</w:t>
      </w:r>
    </w:p>
    <w:p w:rsidR="00A13C23" w:rsidRDefault="00A13C23" w:rsidP="00A13C23">
      <w:pPr>
        <w:spacing w:before="120"/>
        <w:ind w:left="41" w:firstLine="567"/>
        <w:jc w:val="both"/>
        <w:rPr>
          <w:sz w:val="28"/>
          <w:szCs w:val="28"/>
          <w:lang w:val="it-IT" w:bidi="he-IL"/>
        </w:rPr>
      </w:pPr>
      <w:r>
        <w:rPr>
          <w:sz w:val="28"/>
          <w:szCs w:val="28"/>
          <w:lang w:val="it-IT" w:bidi="he-IL"/>
        </w:rPr>
        <w:t>Căn cứ đề nghị của Trưởng khoa/trung tâm có sinh viên tốt nghiệp, Thường trực Hội đồng tốt nghiệp báo cáo tổng hợp kết quả xét tốt nghiệp và lập danh sách sinh viên đủ điều kiện tốt nghiệp trình hội đồng xét tốt nghiệp Trường.</w:t>
      </w:r>
    </w:p>
    <w:p w:rsidR="00A13C23" w:rsidRDefault="00A13C23" w:rsidP="00A13C23">
      <w:pPr>
        <w:spacing w:before="120"/>
        <w:ind w:firstLine="567"/>
        <w:jc w:val="both"/>
        <w:rPr>
          <w:sz w:val="28"/>
          <w:szCs w:val="28"/>
          <w:lang w:val="it-IT"/>
        </w:rPr>
      </w:pPr>
      <w:r>
        <w:rPr>
          <w:sz w:val="28"/>
          <w:szCs w:val="28"/>
          <w:lang w:val="it-IT" w:bidi="he-IL"/>
        </w:rPr>
        <w:t xml:space="preserve">3. </w:t>
      </w:r>
      <w:r>
        <w:rPr>
          <w:sz w:val="28"/>
          <w:szCs w:val="28"/>
          <w:lang w:val="it-IT"/>
        </w:rPr>
        <w:t xml:space="preserve">Hội đồng xét tốt nghiệp trường do Hiệu trưởng hoặc Phó Hiệu trưởng (được Hiệu trưởng uỷ quyền) làm Chủ tịch, Trưởng hoặc phó trưởng phòng Đào tạo làm Ủy viên thường trực Hội đồng và các thành viên là các Trưởng khoa/trung tâm, và một số Trưởng phòng là Ủy viên Hội đồng. </w:t>
      </w:r>
    </w:p>
    <w:p w:rsidR="00A13C23" w:rsidRDefault="00A13C23" w:rsidP="00A13C23">
      <w:pPr>
        <w:spacing w:before="120"/>
        <w:ind w:firstLine="567"/>
        <w:jc w:val="both"/>
        <w:rPr>
          <w:sz w:val="28"/>
          <w:szCs w:val="28"/>
          <w:lang w:val="it-IT"/>
        </w:rPr>
      </w:pPr>
      <w:r>
        <w:rPr>
          <w:sz w:val="28"/>
          <w:szCs w:val="28"/>
          <w:lang w:val="it-IT"/>
        </w:rPr>
        <w:lastRenderedPageBreak/>
        <w:t>3. Căn cứ đề nghị của Hội đồng xét tốt nghiệp, Hiệu trưởng ký quyết định công nhận tốt nghiệp cho những sinh viên đủ điều kiện tốt nghiệp.</w:t>
      </w:r>
    </w:p>
    <w:p w:rsidR="00A13C23" w:rsidRDefault="00A13C23" w:rsidP="00A13C23">
      <w:pPr>
        <w:spacing w:before="200" w:after="200"/>
        <w:ind w:firstLine="567"/>
        <w:jc w:val="both"/>
        <w:rPr>
          <w:b/>
          <w:bCs/>
          <w:sz w:val="28"/>
          <w:szCs w:val="28"/>
        </w:rPr>
      </w:pPr>
      <w:r>
        <w:rPr>
          <w:b/>
          <w:bCs/>
          <w:sz w:val="28"/>
          <w:szCs w:val="28"/>
        </w:rPr>
        <w:t xml:space="preserve">Điều 27. Cấp bằng tốt nghiệp, bảo lưu kết quả học tập, chuyển chương trình đào tạo  và chuyển loại hình đào tạo            </w:t>
      </w:r>
    </w:p>
    <w:p w:rsidR="00A13C23" w:rsidRDefault="00A13C23" w:rsidP="00A13C23">
      <w:pPr>
        <w:spacing w:before="120"/>
        <w:ind w:firstLine="567"/>
        <w:jc w:val="both"/>
        <w:rPr>
          <w:sz w:val="28"/>
          <w:szCs w:val="28"/>
        </w:rPr>
      </w:pPr>
      <w:r>
        <w:rPr>
          <w:sz w:val="28"/>
          <w:szCs w:val="28"/>
        </w:rPr>
        <w:t xml:space="preserve">1. Bằng tốt nghiệp đại học, cao đẳng được cấp theo ngành đào tạo chính (đơn ngành hoặc song ngành).  Hạng tốt nghiệp được xác định theo điểm trung bình chung tích lũy của toàn khoá học, như sau: </w:t>
      </w:r>
    </w:p>
    <w:p w:rsidR="00A13C23" w:rsidRDefault="00A13C23" w:rsidP="00A13C23">
      <w:pPr>
        <w:spacing w:before="120"/>
        <w:ind w:firstLine="567"/>
        <w:jc w:val="both"/>
        <w:rPr>
          <w:sz w:val="28"/>
          <w:szCs w:val="28"/>
        </w:rPr>
      </w:pPr>
      <w:r>
        <w:rPr>
          <w:sz w:val="28"/>
          <w:szCs w:val="28"/>
          <w:lang w:bidi="he-IL"/>
        </w:rPr>
        <w:t>a) Loại xuất sắc:</w:t>
      </w:r>
      <w:r>
        <w:rPr>
          <w:sz w:val="28"/>
          <w:szCs w:val="28"/>
          <w:lang w:bidi="he-IL"/>
        </w:rPr>
        <w:tab/>
        <w:t xml:space="preserve">  Điểm trung bình chung tích lũy từ 3,60 đến 4,00;</w:t>
      </w:r>
    </w:p>
    <w:p w:rsidR="00A13C23" w:rsidRDefault="00A13C23" w:rsidP="00A13C23">
      <w:pPr>
        <w:spacing w:before="120"/>
        <w:ind w:firstLine="567"/>
        <w:jc w:val="both"/>
        <w:rPr>
          <w:sz w:val="28"/>
          <w:szCs w:val="28"/>
        </w:rPr>
      </w:pPr>
      <w:r>
        <w:rPr>
          <w:sz w:val="28"/>
          <w:szCs w:val="28"/>
          <w:lang w:bidi="he-IL"/>
        </w:rPr>
        <w:t>b) Loại giỏi:</w:t>
      </w:r>
      <w:r>
        <w:rPr>
          <w:sz w:val="28"/>
          <w:szCs w:val="28"/>
          <w:lang w:bidi="he-IL"/>
        </w:rPr>
        <w:tab/>
        <w:t xml:space="preserve"> </w:t>
      </w:r>
      <w:r>
        <w:rPr>
          <w:sz w:val="28"/>
          <w:szCs w:val="28"/>
          <w:lang w:bidi="he-IL"/>
        </w:rPr>
        <w:tab/>
        <w:t xml:space="preserve">  Điểm trung bình chung tích lũy từ 3,20 đến 3,59;</w:t>
      </w:r>
    </w:p>
    <w:p w:rsidR="00A13C23" w:rsidRDefault="00A13C23" w:rsidP="00A13C23">
      <w:pPr>
        <w:spacing w:before="120"/>
        <w:ind w:firstLine="567"/>
        <w:jc w:val="both"/>
        <w:rPr>
          <w:sz w:val="28"/>
          <w:szCs w:val="28"/>
        </w:rPr>
      </w:pPr>
      <w:r>
        <w:rPr>
          <w:sz w:val="28"/>
          <w:szCs w:val="28"/>
          <w:lang w:bidi="he-IL"/>
        </w:rPr>
        <w:t>c) Loại khá:</w:t>
      </w:r>
      <w:r>
        <w:rPr>
          <w:sz w:val="28"/>
          <w:szCs w:val="28"/>
          <w:lang w:bidi="he-IL"/>
        </w:rPr>
        <w:tab/>
        <w:t xml:space="preserve">  </w:t>
      </w:r>
      <w:r>
        <w:rPr>
          <w:sz w:val="28"/>
          <w:szCs w:val="28"/>
          <w:lang w:bidi="he-IL"/>
        </w:rPr>
        <w:tab/>
        <w:t xml:space="preserve">  Điểm trung bình chung tích lũy từ 2,50 đến 3,19;</w:t>
      </w:r>
    </w:p>
    <w:p w:rsidR="00A13C23" w:rsidRDefault="00A13C23" w:rsidP="00A13C23">
      <w:pPr>
        <w:spacing w:before="120"/>
        <w:ind w:firstLine="567"/>
        <w:jc w:val="both"/>
        <w:rPr>
          <w:sz w:val="28"/>
          <w:szCs w:val="28"/>
          <w:lang w:bidi="he-IL"/>
        </w:rPr>
      </w:pPr>
      <w:r>
        <w:rPr>
          <w:sz w:val="28"/>
          <w:szCs w:val="28"/>
          <w:lang w:bidi="he-IL"/>
        </w:rPr>
        <w:t>d) Loại trung bình:   Điểm trung bình chung tích lũy từ 2,00 đến 2,49.</w:t>
      </w:r>
    </w:p>
    <w:p w:rsidR="00A13C23" w:rsidRDefault="00A13C23" w:rsidP="00A13C23">
      <w:pPr>
        <w:spacing w:before="120"/>
        <w:ind w:firstLine="567"/>
        <w:jc w:val="both"/>
        <w:rPr>
          <w:spacing w:val="-6"/>
          <w:sz w:val="28"/>
          <w:szCs w:val="28"/>
        </w:rPr>
      </w:pPr>
      <w:r>
        <w:rPr>
          <w:sz w:val="28"/>
          <w:szCs w:val="28"/>
        </w:rPr>
        <w:t xml:space="preserve">2. Hạng tốt nghiệp của những sinh viên có kết quả học tập toàn khóa loại </w:t>
      </w:r>
      <w:r>
        <w:rPr>
          <w:spacing w:val="-6"/>
          <w:sz w:val="28"/>
          <w:szCs w:val="28"/>
        </w:rPr>
        <w:t>xuất sắc và giỏi sẽ bị giảm đi một mức, nếu rơi vào một trong các trường hợp sau:</w:t>
      </w:r>
    </w:p>
    <w:p w:rsidR="00A13C23" w:rsidRDefault="00A13C23" w:rsidP="00A13C23">
      <w:pPr>
        <w:pStyle w:val="BodyText"/>
        <w:spacing w:before="120" w:after="120"/>
        <w:ind w:firstLine="567"/>
        <w:jc w:val="both"/>
        <w:rPr>
          <w:sz w:val="28"/>
          <w:szCs w:val="28"/>
        </w:rPr>
      </w:pPr>
      <w:r>
        <w:rPr>
          <w:sz w:val="28"/>
          <w:szCs w:val="28"/>
        </w:rPr>
        <w:t xml:space="preserve">a) Có khối lượng các học phần phải thi lại vượt quá 5% so với tổng số </w:t>
      </w:r>
      <w:r>
        <w:rPr>
          <w:iCs/>
          <w:sz w:val="28"/>
          <w:szCs w:val="28"/>
        </w:rPr>
        <w:t>tín chỉ</w:t>
      </w:r>
      <w:r>
        <w:rPr>
          <w:sz w:val="28"/>
          <w:szCs w:val="28"/>
        </w:rPr>
        <w:t xml:space="preserve"> quy định cho toàn chương trình;</w:t>
      </w:r>
    </w:p>
    <w:p w:rsidR="00A13C23" w:rsidRDefault="00A13C23" w:rsidP="00A13C23">
      <w:pPr>
        <w:spacing w:before="120"/>
        <w:ind w:firstLine="567"/>
        <w:jc w:val="both"/>
        <w:rPr>
          <w:sz w:val="28"/>
          <w:szCs w:val="28"/>
        </w:rPr>
      </w:pPr>
      <w:r>
        <w:rPr>
          <w:sz w:val="28"/>
          <w:szCs w:val="28"/>
        </w:rPr>
        <w:t>b) Đã bị kỷ luật từ mức cảnh cáo trở lên trong thời gian học.</w:t>
      </w:r>
    </w:p>
    <w:p w:rsidR="00A13C23" w:rsidRDefault="00A13C23" w:rsidP="00A13C23">
      <w:pPr>
        <w:spacing w:before="120"/>
        <w:ind w:firstLine="567"/>
        <w:jc w:val="both"/>
        <w:rPr>
          <w:sz w:val="28"/>
          <w:szCs w:val="28"/>
        </w:rPr>
      </w:pPr>
      <w:r>
        <w:rPr>
          <w:sz w:val="28"/>
          <w:szCs w:val="28"/>
        </w:rPr>
        <w:t>3. Kết quả học tập của sinh viên phải được ghi vào bảng điểm theo từng học phần tích lũy nằm trong chương trình đào tạo. Trong bảng điểm còn phải ghi chuyên ngành (hướng chuyên sâu) hoặc ngành phụ (nếu có).</w:t>
      </w:r>
    </w:p>
    <w:p w:rsidR="00A13C23" w:rsidRDefault="00A13C23" w:rsidP="00A13C23">
      <w:pPr>
        <w:spacing w:before="120"/>
        <w:ind w:firstLine="567"/>
        <w:jc w:val="both"/>
        <w:rPr>
          <w:sz w:val="28"/>
          <w:szCs w:val="28"/>
        </w:rPr>
      </w:pPr>
      <w:r>
        <w:rPr>
          <w:sz w:val="28"/>
          <w:szCs w:val="28"/>
        </w:rPr>
        <w:t>4. Nếu kết quả học tập của sinh viên thỏa mãn những quy định tại khoản 1 Điều 26 của Quy chế này đối với một số chương trình đào tạo tương ứng với các ngành đào tạo khác nhau, thì sinh viên được cấp các bằng tốt nghiệp khác nhau tương ứng với các ngành đào tạo đó.</w:t>
      </w:r>
    </w:p>
    <w:p w:rsidR="00A13C23" w:rsidRDefault="00A13C23" w:rsidP="00A13C23">
      <w:pPr>
        <w:spacing w:before="120"/>
        <w:ind w:firstLine="567"/>
        <w:jc w:val="both"/>
        <w:rPr>
          <w:sz w:val="28"/>
          <w:szCs w:val="28"/>
        </w:rPr>
      </w:pPr>
      <w:r>
        <w:rPr>
          <w:sz w:val="28"/>
          <w:szCs w:val="28"/>
        </w:rPr>
        <w:t>5. Sinh viên còn nợ chứng chỉ giáo dục quốc phòng-an ninh hoặc chưa hoàn thành học phần giáo dục thể chất, nhưng đã hết thời gian tối đa được phép học, trong thời hạn 5 năm tính từ ngày phải ngừng học, được trở về Trường trả nợ để có đủ điều kiện xét tốt nghiệp.</w:t>
      </w:r>
    </w:p>
    <w:p w:rsidR="00A13C23" w:rsidRDefault="00A13C23" w:rsidP="00A13C23">
      <w:pPr>
        <w:spacing w:before="120"/>
        <w:ind w:firstLine="567"/>
        <w:jc w:val="both"/>
        <w:rPr>
          <w:sz w:val="28"/>
          <w:szCs w:val="28"/>
        </w:rPr>
      </w:pPr>
      <w:r>
        <w:rPr>
          <w:sz w:val="28"/>
          <w:szCs w:val="28"/>
        </w:rPr>
        <w:t>6. Sinh viên không tốt nghiệp được cấp giấy chứng nhận về các học phần đã học trong chương trình đào tạo. Những sinh viên này nếu có nguyện vọng, được quyền làm đơn đề nghị được chuyển qua học các chương trình khác ở trình độ đào tạo thấp hơn.</w:t>
      </w:r>
    </w:p>
    <w:p w:rsidR="007507B6" w:rsidRDefault="007507B6" w:rsidP="00A13C23">
      <w:pPr>
        <w:spacing w:before="200" w:after="200"/>
        <w:ind w:firstLine="567"/>
        <w:jc w:val="both"/>
        <w:rPr>
          <w:b/>
          <w:bCs/>
          <w:sz w:val="28"/>
          <w:szCs w:val="28"/>
        </w:rPr>
      </w:pPr>
      <w:bookmarkStart w:id="0" w:name="_GoBack"/>
      <w:bookmarkEnd w:id="0"/>
    </w:p>
    <w:sectPr w:rsidR="007507B6" w:rsidSect="007E6EB7">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7B6"/>
    <w:rsid w:val="0044421E"/>
    <w:rsid w:val="006439A1"/>
    <w:rsid w:val="007507B6"/>
    <w:rsid w:val="007E6EB7"/>
    <w:rsid w:val="009763B4"/>
    <w:rsid w:val="00A13C23"/>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76"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763B4"/>
    <w:pPr>
      <w:spacing w:after="0" w:line="240" w:lineRule="auto"/>
      <w:jc w:val="center"/>
    </w:pPr>
    <w:rPr>
      <w:rFonts w:eastAsia="Times New Roman"/>
      <w:sz w:val="24"/>
      <w:szCs w:val="24"/>
    </w:rPr>
  </w:style>
  <w:style w:type="character" w:customStyle="1" w:styleId="BodyTextChar">
    <w:name w:val="Body Text Char"/>
    <w:basedOn w:val="DefaultParagraphFont"/>
    <w:link w:val="BodyText"/>
    <w:semiHidden/>
    <w:rsid w:val="009763B4"/>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76"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763B4"/>
    <w:pPr>
      <w:spacing w:after="0" w:line="240" w:lineRule="auto"/>
      <w:jc w:val="center"/>
    </w:pPr>
    <w:rPr>
      <w:rFonts w:eastAsia="Times New Roman"/>
      <w:sz w:val="24"/>
      <w:szCs w:val="24"/>
    </w:rPr>
  </w:style>
  <w:style w:type="character" w:customStyle="1" w:styleId="BodyTextChar">
    <w:name w:val="Body Text Char"/>
    <w:basedOn w:val="DefaultParagraphFont"/>
    <w:link w:val="BodyText"/>
    <w:semiHidden/>
    <w:rsid w:val="009763B4"/>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44818">
      <w:bodyDiv w:val="1"/>
      <w:marLeft w:val="0"/>
      <w:marRight w:val="0"/>
      <w:marTop w:val="0"/>
      <w:marBottom w:val="0"/>
      <w:divBdr>
        <w:top w:val="none" w:sz="0" w:space="0" w:color="auto"/>
        <w:left w:val="none" w:sz="0" w:space="0" w:color="auto"/>
        <w:bottom w:val="none" w:sz="0" w:space="0" w:color="auto"/>
        <w:right w:val="none" w:sz="0" w:space="0" w:color="auto"/>
      </w:divBdr>
    </w:div>
    <w:div w:id="1718436455">
      <w:bodyDiv w:val="1"/>
      <w:marLeft w:val="0"/>
      <w:marRight w:val="0"/>
      <w:marTop w:val="0"/>
      <w:marBottom w:val="0"/>
      <w:divBdr>
        <w:top w:val="none" w:sz="0" w:space="0" w:color="auto"/>
        <w:left w:val="none" w:sz="0" w:space="0" w:color="auto"/>
        <w:bottom w:val="none" w:sz="0" w:space="0" w:color="auto"/>
        <w:right w:val="none" w:sz="0" w:space="0" w:color="auto"/>
      </w:divBdr>
    </w:div>
    <w:div w:id="1932617197">
      <w:bodyDiv w:val="1"/>
      <w:marLeft w:val="0"/>
      <w:marRight w:val="0"/>
      <w:marTop w:val="0"/>
      <w:marBottom w:val="0"/>
      <w:divBdr>
        <w:top w:val="none" w:sz="0" w:space="0" w:color="auto"/>
        <w:left w:val="none" w:sz="0" w:space="0" w:color="auto"/>
        <w:bottom w:val="none" w:sz="0" w:space="0" w:color="auto"/>
        <w:right w:val="none" w:sz="0" w:space="0" w:color="auto"/>
      </w:divBdr>
    </w:div>
    <w:div w:id="196287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Khatmau_sr</dc:creator>
  <cp:lastModifiedBy>Khatmau_sr</cp:lastModifiedBy>
  <cp:revision>3</cp:revision>
  <dcterms:created xsi:type="dcterms:W3CDTF">2015-01-27T14:50:00Z</dcterms:created>
  <dcterms:modified xsi:type="dcterms:W3CDTF">2015-01-27T14:52:00Z</dcterms:modified>
</cp:coreProperties>
</file>